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4C72" w:rsidP="00181FD4" w:rsidRDefault="00D87D67" w14:paraId="5BFD3E8B" w14:textId="0B43592D">
      <w:pPr>
        <w:jc w:val="center"/>
        <w:rPr>
          <w:b/>
          <w:sz w:val="22"/>
          <w:szCs w:val="22"/>
        </w:rPr>
      </w:pPr>
      <w:r w:rsidRPr="00181FD4">
        <w:rPr>
          <w:b/>
          <w:sz w:val="22"/>
          <w:szCs w:val="22"/>
        </w:rPr>
        <w:t>JMCSS Instructional Framework</w:t>
      </w:r>
      <w:r w:rsidRPr="00181FD4" w:rsidR="002C5500">
        <w:rPr>
          <w:b/>
          <w:sz w:val="22"/>
          <w:szCs w:val="22"/>
        </w:rPr>
        <w:t xml:space="preserve">: </w:t>
      </w:r>
      <w:r w:rsidR="00874A29">
        <w:rPr>
          <w:b/>
          <w:sz w:val="22"/>
          <w:szCs w:val="22"/>
        </w:rPr>
        <w:t>Math</w:t>
      </w:r>
    </w:p>
    <w:p w:rsidR="00F77F06" w:rsidP="00F77F06" w:rsidRDefault="00F77F06" w14:paraId="31C0D643" w14:textId="01672354">
      <w:pPr>
        <w:rPr>
          <w:b/>
          <w:sz w:val="22"/>
          <w:szCs w:val="22"/>
        </w:rPr>
      </w:pPr>
    </w:p>
    <w:p w:rsidR="00F77F06" w:rsidP="00F77F06" w:rsidRDefault="00F77F06" w14:paraId="6CC3094E" w14:textId="1148F398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24"/>
        <w:tblW w:w="1134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940"/>
      </w:tblGrid>
      <w:tr w:rsidRPr="00225BA4" w:rsidR="00F77F06" w:rsidTr="54B205FB" w14:paraId="04DBD60B" w14:textId="77777777">
        <w:trPr>
          <w:trHeight w:val="300"/>
        </w:trPr>
        <w:tc>
          <w:tcPr>
            <w:tcW w:w="5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225BA4" w:rsidR="00F77F06" w:rsidP="00F77F06" w:rsidRDefault="00F77F06" w14:paraId="4B6E93A2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225BA4">
              <w:rPr>
                <w:rFonts w:ascii="Calibri" w:hAnsi="Calibri" w:eastAsia="Times New Roman" w:cs="Segoe UI"/>
                <w:sz w:val="16"/>
                <w:szCs w:val="16"/>
              </w:rPr>
              <w:t>Teacher Name: </w:t>
            </w:r>
          </w:p>
        </w:tc>
        <w:tc>
          <w:tcPr>
            <w:tcW w:w="594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225BA4" w:rsidR="00F77F06" w:rsidP="00F77F06" w:rsidRDefault="00F77F06" w14:paraId="6C228F2E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225BA4">
              <w:rPr>
                <w:rFonts w:ascii="Calibri" w:hAnsi="Calibri" w:eastAsia="Times New Roman" w:cs="Segoe UI"/>
                <w:sz w:val="16"/>
                <w:szCs w:val="16"/>
              </w:rPr>
              <w:t>Administrator Name: </w:t>
            </w:r>
          </w:p>
        </w:tc>
      </w:tr>
      <w:tr w:rsidRPr="00225BA4" w:rsidR="00F77F06" w:rsidTr="54B205FB" w14:paraId="271E41E3" w14:textId="77777777">
        <w:trPr>
          <w:trHeight w:val="300"/>
        </w:trPr>
        <w:tc>
          <w:tcPr>
            <w:tcW w:w="540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225BA4" w:rsidR="00F77F06" w:rsidP="00F77F06" w:rsidRDefault="00F77F06" w14:paraId="00AF2111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225BA4">
              <w:rPr>
                <w:rFonts w:ascii="Calibri" w:hAnsi="Calibri" w:eastAsia="Times New Roman" w:cs="Segoe UI"/>
                <w:sz w:val="16"/>
                <w:szCs w:val="16"/>
              </w:rPr>
              <w:t>Date of Walk-Through: </w:t>
            </w:r>
          </w:p>
        </w:tc>
        <w:tc>
          <w:tcPr>
            <w:tcW w:w="594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225BA4" w:rsidR="00F77F06" w:rsidP="00F77F06" w:rsidRDefault="00F77F06" w14:paraId="59943E13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225BA4">
              <w:rPr>
                <w:rFonts w:ascii="Calibri" w:hAnsi="Calibri" w:eastAsia="Times New Roman" w:cs="Segoe UI"/>
                <w:sz w:val="16"/>
                <w:szCs w:val="16"/>
              </w:rPr>
              <w:t>Date of Coaching Conversation: </w:t>
            </w:r>
          </w:p>
        </w:tc>
      </w:tr>
      <w:tr w:rsidRPr="00225BA4" w:rsidR="00F77F06" w:rsidTr="54B205FB" w14:paraId="777BA2ED" w14:textId="77777777">
        <w:trPr>
          <w:trHeight w:val="300"/>
        </w:trPr>
        <w:tc>
          <w:tcPr>
            <w:tcW w:w="11340" w:type="dxa"/>
            <w:gridSpan w:val="2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225BA4" w:rsidR="00F77F06" w:rsidP="00F77F06" w:rsidRDefault="00F77F06" w14:paraId="4ED25E62" w14:textId="54755B7C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4B205FB" w:rsidR="54B205FB">
              <w:rPr>
                <w:rFonts w:ascii="Calibri" w:hAnsi="Calibri" w:eastAsia="Times New Roman" w:cs="Segoe UI"/>
                <w:sz w:val="16"/>
                <w:szCs w:val="16"/>
              </w:rPr>
              <w:t>Conversation Notes and Feedback</w:t>
            </w:r>
          </w:p>
        </w:tc>
      </w:tr>
      <w:tr w:rsidRPr="00225BA4" w:rsidR="00F77F06" w:rsidTr="54B205FB" w14:paraId="40D413DB" w14:textId="77777777">
        <w:trPr>
          <w:trHeight w:val="1635"/>
        </w:trPr>
        <w:tc>
          <w:tcPr>
            <w:tcW w:w="11340" w:type="dxa"/>
            <w:gridSpan w:val="2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225BA4" w:rsidR="00F77F06" w:rsidP="00F77F06" w:rsidRDefault="00F77F06" w14:paraId="5D264952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225BA4">
              <w:rPr>
                <w:rFonts w:ascii="Calibri" w:hAnsi="Calibri" w:eastAsia="Times New Roman" w:cs="Segoe UI"/>
                <w:i/>
                <w:iCs/>
                <w:sz w:val="16"/>
                <w:szCs w:val="16"/>
              </w:rPr>
              <w:t>Notes:</w:t>
            </w:r>
            <w:r w:rsidRPr="00225BA4">
              <w:rPr>
                <w:rFonts w:ascii="Calibri" w:hAnsi="Calibri" w:eastAsia="Times New Roman" w:cs="Segoe UI"/>
                <w:sz w:val="16"/>
                <w:szCs w:val="16"/>
              </w:rPr>
              <w:t> </w:t>
            </w:r>
          </w:p>
          <w:p w:rsidRPr="00225BA4" w:rsidR="00F77F06" w:rsidP="00F77F06" w:rsidRDefault="00F77F06" w14:paraId="20D7A5EF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225BA4">
              <w:rPr>
                <w:rFonts w:ascii="Calibri" w:hAnsi="Calibri" w:eastAsia="Times New Roman" w:cs="Segoe UI"/>
                <w:sz w:val="16"/>
                <w:szCs w:val="16"/>
              </w:rPr>
              <w:t> </w:t>
            </w:r>
          </w:p>
          <w:p w:rsidRPr="00225BA4" w:rsidR="00F77F06" w:rsidP="00F77F06" w:rsidRDefault="00F77F06" w14:paraId="0C057ED2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225BA4">
              <w:rPr>
                <w:rFonts w:ascii="Calibri" w:hAnsi="Calibri" w:eastAsia="Times New Roman" w:cs="Segoe UI"/>
                <w:sz w:val="16"/>
                <w:szCs w:val="16"/>
              </w:rPr>
              <w:t> </w:t>
            </w:r>
          </w:p>
          <w:p w:rsidRPr="00225BA4" w:rsidR="00F77F06" w:rsidP="00F77F06" w:rsidRDefault="00F77F06" w14:paraId="49DEEC38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225BA4">
              <w:rPr>
                <w:rFonts w:ascii="Calibri" w:hAnsi="Calibri" w:eastAsia="Times New Roman" w:cs="Segoe UI"/>
                <w:sz w:val="16"/>
                <w:szCs w:val="16"/>
              </w:rPr>
              <w:t> </w:t>
            </w:r>
          </w:p>
          <w:p w:rsidRPr="00225BA4" w:rsidR="00F77F06" w:rsidP="00F77F06" w:rsidRDefault="00F77F06" w14:paraId="08190773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225BA4">
              <w:rPr>
                <w:rFonts w:ascii="Calibri" w:hAnsi="Calibri" w:eastAsia="Times New Roman" w:cs="Segoe UI"/>
                <w:sz w:val="16"/>
                <w:szCs w:val="16"/>
              </w:rPr>
              <w:t> </w:t>
            </w:r>
          </w:p>
          <w:p w:rsidRPr="00225BA4" w:rsidR="00F77F06" w:rsidP="00F77F06" w:rsidRDefault="00F77F06" w14:paraId="433F77DB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225BA4">
              <w:rPr>
                <w:rFonts w:ascii="Calibri" w:hAnsi="Calibri" w:eastAsia="Times New Roman" w:cs="Segoe UI"/>
                <w:sz w:val="16"/>
                <w:szCs w:val="16"/>
              </w:rPr>
              <w:t> </w:t>
            </w:r>
          </w:p>
          <w:p w:rsidRPr="00225BA4" w:rsidR="00F77F06" w:rsidP="00F77F06" w:rsidRDefault="00F77F06" w14:paraId="74E5E56C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225BA4">
              <w:rPr>
                <w:rFonts w:ascii="Calibri" w:hAnsi="Calibri" w:eastAsia="Times New Roman" w:cs="Segoe UI"/>
                <w:i/>
                <w:iCs/>
                <w:sz w:val="16"/>
                <w:szCs w:val="16"/>
              </w:rPr>
              <w:t>Feedback:</w:t>
            </w:r>
            <w:r w:rsidRPr="00225BA4">
              <w:rPr>
                <w:rFonts w:ascii="Calibri" w:hAnsi="Calibri" w:eastAsia="Times New Roman" w:cs="Segoe UI"/>
                <w:sz w:val="16"/>
                <w:szCs w:val="16"/>
              </w:rPr>
              <w:t> </w:t>
            </w:r>
          </w:p>
          <w:p w:rsidRPr="00225BA4" w:rsidR="00F77F06" w:rsidP="00F77F06" w:rsidRDefault="00F77F06" w14:paraId="329F4A69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225BA4">
              <w:rPr>
                <w:rFonts w:ascii="Calibri" w:hAnsi="Calibri" w:eastAsia="Times New Roman" w:cs="Segoe UI"/>
                <w:sz w:val="16"/>
                <w:szCs w:val="16"/>
              </w:rPr>
              <w:t> </w:t>
            </w:r>
          </w:p>
          <w:p w:rsidRPr="00225BA4" w:rsidR="00F77F06" w:rsidP="00F77F06" w:rsidRDefault="00F77F06" w14:paraId="23F66075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225BA4">
              <w:rPr>
                <w:rFonts w:ascii="Calibri" w:hAnsi="Calibri" w:eastAsia="Times New Roman" w:cs="Segoe UI"/>
                <w:sz w:val="16"/>
                <w:szCs w:val="16"/>
              </w:rPr>
              <w:t> </w:t>
            </w:r>
          </w:p>
          <w:p w:rsidRPr="00225BA4" w:rsidR="00F77F06" w:rsidP="00F77F06" w:rsidRDefault="00F77F06" w14:paraId="3DDF38D4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225BA4">
              <w:rPr>
                <w:rFonts w:ascii="Calibri" w:hAnsi="Calibri" w:eastAsia="Times New Roman" w:cs="Segoe UI"/>
                <w:sz w:val="16"/>
                <w:szCs w:val="16"/>
              </w:rPr>
              <w:t> </w:t>
            </w:r>
          </w:p>
          <w:p w:rsidRPr="00225BA4" w:rsidR="00F77F06" w:rsidP="00F77F06" w:rsidRDefault="00F77F06" w14:paraId="3793EC11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225BA4">
              <w:rPr>
                <w:rFonts w:ascii="Calibri" w:hAnsi="Calibri" w:eastAsia="Times New Roman" w:cs="Segoe UI"/>
                <w:sz w:val="16"/>
                <w:szCs w:val="16"/>
              </w:rPr>
              <w:t> </w:t>
            </w:r>
          </w:p>
        </w:tc>
      </w:tr>
    </w:tbl>
    <w:p w:rsidR="00F77F06" w:rsidP="00F77F06" w:rsidRDefault="00F77F06" w14:paraId="36B5CFC8" w14:textId="77F10305">
      <w:pPr>
        <w:rPr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238"/>
        <w:tblW w:w="11340" w:type="dxa"/>
        <w:tblLook w:val="04A0" w:firstRow="1" w:lastRow="0" w:firstColumn="1" w:lastColumn="0" w:noHBand="0" w:noVBand="1"/>
      </w:tblPr>
      <w:tblGrid>
        <w:gridCol w:w="9630"/>
        <w:gridCol w:w="1710"/>
      </w:tblGrid>
      <w:tr w:rsidRPr="00D245D2" w:rsidR="00F77F06" w:rsidTr="00F77F06" w14:paraId="7D2DB8BD" w14:textId="77777777">
        <w:trPr>
          <w:trHeight w:val="377"/>
        </w:trPr>
        <w:tc>
          <w:tcPr>
            <w:tcW w:w="9630" w:type="dxa"/>
            <w:tcBorders>
              <w:top w:val="nil"/>
              <w:left w:val="nil"/>
            </w:tcBorders>
            <w:vAlign w:val="center"/>
          </w:tcPr>
          <w:p w:rsidRPr="00181FD4" w:rsidR="00F77F06" w:rsidP="00F77F06" w:rsidRDefault="00F77F06" w14:paraId="62935318" w14:textId="77777777">
            <w:pPr>
              <w:ind w:right="106"/>
              <w:rPr>
                <w:rFonts w:ascii="Calibri" w:hAnsi="Calibri"/>
                <w:b/>
                <w:w w:val="105"/>
                <w:sz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Instructional Practice Guide</w:t>
            </w:r>
          </w:p>
        </w:tc>
        <w:tc>
          <w:tcPr>
            <w:tcW w:w="1710" w:type="dxa"/>
            <w:vAlign w:val="center"/>
          </w:tcPr>
          <w:p w:rsidRPr="00D245D2" w:rsidR="00F77F06" w:rsidP="00F77F06" w:rsidRDefault="00F77F06" w14:paraId="48E7BC40" w14:textId="77777777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Feedback</w:t>
            </w:r>
          </w:p>
        </w:tc>
      </w:tr>
      <w:tr w:rsidRPr="00D245D2" w:rsidR="00F77F06" w:rsidTr="00F77F06" w14:paraId="3276B94A" w14:textId="77777777">
        <w:trPr>
          <w:trHeight w:val="377"/>
        </w:trPr>
        <w:tc>
          <w:tcPr>
            <w:tcW w:w="9630" w:type="dxa"/>
            <w:vAlign w:val="center"/>
          </w:tcPr>
          <w:p w:rsidRPr="00181FD4" w:rsidR="00F77F06" w:rsidP="00F77F06" w:rsidRDefault="00F77F06" w14:paraId="5E153487" w14:textId="77777777">
            <w:pPr>
              <w:ind w:right="106"/>
              <w:rPr>
                <w:rFonts w:ascii="Calibri" w:hAnsi="Calibri"/>
                <w:w w:val="105"/>
                <w:sz w:val="16"/>
              </w:rPr>
            </w:pPr>
            <w:r w:rsidRPr="00181FD4">
              <w:rPr>
                <w:rFonts w:ascii="Calibri" w:hAnsi="Calibri"/>
                <w:b/>
                <w:w w:val="105"/>
                <w:sz w:val="16"/>
              </w:rPr>
              <w:t xml:space="preserve">Standard Alignment: </w:t>
            </w:r>
            <w:r w:rsidRPr="00181FD4">
              <w:rPr>
                <w:rFonts w:ascii="Calibri" w:hAnsi="Calibri"/>
                <w:w w:val="105"/>
                <w:sz w:val="16"/>
              </w:rPr>
              <w:t xml:space="preserve">The lesson reflects the demands of the standards. </w:t>
            </w:r>
          </w:p>
        </w:tc>
        <w:tc>
          <w:tcPr>
            <w:tcW w:w="1710" w:type="dxa"/>
            <w:vAlign w:val="center"/>
          </w:tcPr>
          <w:p w:rsidRPr="00D245D2" w:rsidR="00F77F06" w:rsidP="00F77F06" w:rsidRDefault="00F77F06" w14:paraId="6E8D0145" w14:textId="7777777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Pr="00D245D2" w:rsidR="00F77F06" w:rsidTr="00F77F06" w14:paraId="4D0D7E77" w14:textId="77777777">
        <w:trPr>
          <w:trHeight w:val="288"/>
        </w:trPr>
        <w:tc>
          <w:tcPr>
            <w:tcW w:w="11340" w:type="dxa"/>
            <w:gridSpan w:val="2"/>
            <w:shd w:val="clear" w:color="auto" w:fill="BFBFBF" w:themeFill="background1" w:themeFillShade="BF"/>
            <w:vAlign w:val="center"/>
          </w:tcPr>
          <w:p w:rsidRPr="00181FD4" w:rsidR="00F77F06" w:rsidP="00F77F06" w:rsidRDefault="00F77F06" w14:paraId="0FAF243A" w14:textId="77777777">
            <w:pPr>
              <w:rPr>
                <w:rFonts w:ascii="Calibri" w:hAnsi="Calibri"/>
                <w:b/>
                <w:w w:val="105"/>
                <w:sz w:val="16"/>
              </w:rPr>
            </w:pPr>
            <w:r w:rsidRPr="00181FD4">
              <w:rPr>
                <w:rFonts w:ascii="Calibri" w:hAnsi="Calibri"/>
                <w:b/>
                <w:w w:val="105"/>
                <w:sz w:val="16"/>
              </w:rPr>
              <w:t xml:space="preserve">Core Action 1: </w:t>
            </w:r>
            <w:r>
              <w:rPr>
                <w:rFonts w:ascii="Calibri" w:hAnsi="Calibri"/>
                <w:b/>
                <w:w w:val="105"/>
                <w:sz w:val="16"/>
              </w:rPr>
              <w:t xml:space="preserve">Ensure the work of the lesson reflects the shifts required. </w:t>
            </w:r>
          </w:p>
        </w:tc>
      </w:tr>
      <w:tr w:rsidRPr="00D245D2" w:rsidR="00F77F06" w:rsidTr="00F77F06" w14:paraId="6A14E417" w14:textId="77777777">
        <w:trPr>
          <w:trHeight w:val="432"/>
        </w:trPr>
        <w:tc>
          <w:tcPr>
            <w:tcW w:w="9630" w:type="dxa"/>
          </w:tcPr>
          <w:p w:rsidRPr="00300957" w:rsidR="00F77F06" w:rsidP="00F77F06" w:rsidRDefault="00F77F06" w14:paraId="19B97A51" w14:textId="77777777">
            <w:pPr>
              <w:pStyle w:val="TableParagraph"/>
              <w:numPr>
                <w:ilvl w:val="0"/>
                <w:numId w:val="13"/>
              </w:numPr>
              <w:spacing w:line="271" w:lineRule="auto"/>
              <w:ind w:left="180" w:right="579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The lesson focuses on grade-level standard(s) or part(s) thereof.</w:t>
            </w:r>
          </w:p>
          <w:p w:rsidR="00F77F06" w:rsidP="00F77F06" w:rsidRDefault="00F77F06" w14:paraId="7B963C28" w14:textId="77777777">
            <w:pPr>
              <w:pStyle w:val="TableParagraph"/>
              <w:numPr>
                <w:ilvl w:val="1"/>
                <w:numId w:val="13"/>
              </w:numPr>
              <w:spacing w:before="0"/>
              <w:ind w:left="450" w:right="576" w:hanging="9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The lesson focuses grade-level standard(s) or progression leading to that grade-level standard(s).</w:t>
            </w:r>
          </w:p>
          <w:p w:rsidRPr="00300957" w:rsidR="00F77F06" w:rsidP="00F77F06" w:rsidRDefault="00F77F06" w14:paraId="4D8EB65A" w14:textId="77777777">
            <w:pPr>
              <w:pStyle w:val="TableParagraph"/>
              <w:numPr>
                <w:ilvl w:val="1"/>
                <w:numId w:val="13"/>
              </w:numPr>
              <w:spacing w:before="0"/>
              <w:ind w:left="450" w:right="576" w:hanging="9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Off grade-level standard(s) are clearly aimed at helping students meet the standard(s) as written. </w:t>
            </w:r>
          </w:p>
        </w:tc>
        <w:tc>
          <w:tcPr>
            <w:tcW w:w="1710" w:type="dxa"/>
            <w:vAlign w:val="center"/>
          </w:tcPr>
          <w:p w:rsidRPr="00D245D2" w:rsidR="00F77F06" w:rsidP="00F77F06" w:rsidRDefault="00F77F06" w14:paraId="76F68338" w14:textId="77777777">
            <w:pPr>
              <w:jc w:val="center"/>
              <w:rPr>
                <w:rFonts w:ascii="Calibri" w:hAnsi="Calibri"/>
                <w:w w:val="105"/>
                <w:sz w:val="16"/>
              </w:rPr>
            </w:pPr>
          </w:p>
        </w:tc>
      </w:tr>
      <w:tr w:rsidRPr="00D245D2" w:rsidR="00F77F06" w:rsidTr="00F77F06" w14:paraId="701C4DE7" w14:textId="77777777">
        <w:trPr>
          <w:trHeight w:val="288"/>
        </w:trPr>
        <w:tc>
          <w:tcPr>
            <w:tcW w:w="9630" w:type="dxa"/>
          </w:tcPr>
          <w:p w:rsidRPr="00300957" w:rsidR="00F77F06" w:rsidP="00F77F06" w:rsidRDefault="00F77F06" w14:paraId="3E7F4429" w14:textId="77777777">
            <w:pPr>
              <w:pStyle w:val="ListParagraph"/>
              <w:numPr>
                <w:ilvl w:val="0"/>
                <w:numId w:val="12"/>
              </w:numPr>
              <w:ind w:left="180" w:hanging="180"/>
              <w:rPr>
                <w:rFonts w:ascii="Calibri" w:hAnsi="Calibri"/>
                <w:spacing w:val="2"/>
                <w:w w:val="105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The lesson intentionally relates new concepts to students’ prior skills and knowledge. </w:t>
            </w:r>
          </w:p>
          <w:p w:rsidRPr="00554C74" w:rsidR="00F77F06" w:rsidP="00F77F06" w:rsidRDefault="00F77F06" w14:paraId="3366B1C3" w14:textId="77777777">
            <w:pPr>
              <w:pStyle w:val="ListParagraph"/>
              <w:numPr>
                <w:ilvl w:val="1"/>
                <w:numId w:val="12"/>
              </w:numPr>
              <w:ind w:left="450" w:hanging="90"/>
              <w:rPr>
                <w:rFonts w:ascii="Calibri" w:hAnsi="Calibri"/>
                <w:spacing w:val="2"/>
                <w:w w:val="105"/>
                <w:sz w:val="16"/>
              </w:rPr>
            </w:pPr>
            <w:r>
              <w:rPr>
                <w:w w:val="105"/>
                <w:sz w:val="16"/>
              </w:rPr>
              <w:t>The lesson explicitly builds on students’ prior skills and knowledge and students articulate these connections.</w:t>
            </w:r>
          </w:p>
        </w:tc>
        <w:tc>
          <w:tcPr>
            <w:tcW w:w="1710" w:type="dxa"/>
            <w:vAlign w:val="center"/>
          </w:tcPr>
          <w:p w:rsidRPr="00D245D2" w:rsidR="00F77F06" w:rsidP="00F77F06" w:rsidRDefault="00F77F06" w14:paraId="05BE49A7" w14:textId="77777777">
            <w:pPr>
              <w:jc w:val="center"/>
              <w:rPr>
                <w:rFonts w:ascii="Calibri" w:hAnsi="Calibri"/>
                <w:w w:val="105"/>
                <w:sz w:val="16"/>
              </w:rPr>
            </w:pPr>
          </w:p>
        </w:tc>
      </w:tr>
      <w:tr w:rsidRPr="00D245D2" w:rsidR="00F77F06" w:rsidTr="00F77F06" w14:paraId="70056307" w14:textId="77777777">
        <w:trPr>
          <w:trHeight w:val="288"/>
        </w:trPr>
        <w:tc>
          <w:tcPr>
            <w:tcW w:w="9630" w:type="dxa"/>
          </w:tcPr>
          <w:p w:rsidR="00F77F06" w:rsidP="00F77F06" w:rsidRDefault="00F77F06" w14:paraId="08E586A4" w14:textId="77777777">
            <w:pPr>
              <w:pStyle w:val="ListParagraph"/>
              <w:numPr>
                <w:ilvl w:val="0"/>
                <w:numId w:val="12"/>
              </w:numPr>
              <w:ind w:left="180" w:hanging="180"/>
              <w:rPr>
                <w:rFonts w:ascii="Calibri" w:hAnsi="Calibri"/>
                <w:w w:val="105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The lesson intentionally targets the aspect(s) of rigor for the standard (conceptual understanding, procedural </w:t>
            </w:r>
            <w:proofErr w:type="gramStart"/>
            <w:r>
              <w:rPr>
                <w:rFonts w:ascii="Calibri" w:hAnsi="Calibri"/>
                <w:w w:val="105"/>
                <w:sz w:val="16"/>
              </w:rPr>
              <w:t>skill</w:t>
            </w:r>
            <w:proofErr w:type="gramEnd"/>
            <w:r>
              <w:rPr>
                <w:rFonts w:ascii="Calibri" w:hAnsi="Calibri"/>
                <w:w w:val="105"/>
                <w:sz w:val="16"/>
              </w:rPr>
              <w:t xml:space="preserve"> and fluency, and/or application).</w:t>
            </w:r>
          </w:p>
          <w:p w:rsidR="00F77F06" w:rsidP="00F77F06" w:rsidRDefault="00F77F06" w14:paraId="686AEE75" w14:textId="77777777">
            <w:pPr>
              <w:pStyle w:val="ListParagraph"/>
              <w:numPr>
                <w:ilvl w:val="1"/>
                <w:numId w:val="12"/>
              </w:numPr>
              <w:ind w:left="450" w:hanging="90"/>
              <w:rPr>
                <w:rFonts w:ascii="Calibri" w:hAnsi="Calibri"/>
                <w:w w:val="105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Standard: C (</w:t>
            </w:r>
            <w:proofErr w:type="gramStart"/>
            <w:r>
              <w:rPr>
                <w:rFonts w:ascii="Calibri" w:hAnsi="Calibri"/>
                <w:w w:val="105"/>
                <w:sz w:val="16"/>
              </w:rPr>
              <w:t xml:space="preserve">Conceptual)   </w:t>
            </w:r>
            <w:proofErr w:type="gramEnd"/>
            <w:r>
              <w:rPr>
                <w:rFonts w:ascii="Calibri" w:hAnsi="Calibri"/>
                <w:w w:val="105"/>
                <w:sz w:val="16"/>
              </w:rPr>
              <w:t>P (Procedural Fluency)   A (Application)</w:t>
            </w:r>
          </w:p>
          <w:p w:rsidR="00F77F06" w:rsidP="00F77F06" w:rsidRDefault="00F77F06" w14:paraId="694AF723" w14:textId="77777777">
            <w:pPr>
              <w:pStyle w:val="ListParagraph"/>
              <w:numPr>
                <w:ilvl w:val="1"/>
                <w:numId w:val="12"/>
              </w:numPr>
              <w:ind w:left="450" w:hanging="90"/>
              <w:rPr>
                <w:rFonts w:ascii="Calibri" w:hAnsi="Calibri"/>
                <w:w w:val="105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Lesson:     C (</w:t>
            </w:r>
            <w:proofErr w:type="gramStart"/>
            <w:r>
              <w:rPr>
                <w:rFonts w:ascii="Calibri" w:hAnsi="Calibri"/>
                <w:w w:val="105"/>
                <w:sz w:val="16"/>
              </w:rPr>
              <w:t xml:space="preserve">Conceptual)   </w:t>
            </w:r>
            <w:proofErr w:type="gramEnd"/>
            <w:r>
              <w:rPr>
                <w:rFonts w:ascii="Calibri" w:hAnsi="Calibri"/>
                <w:w w:val="105"/>
                <w:sz w:val="16"/>
              </w:rPr>
              <w:t>P (Procedural Fluency)   A (Application)</w:t>
            </w:r>
          </w:p>
        </w:tc>
        <w:tc>
          <w:tcPr>
            <w:tcW w:w="1710" w:type="dxa"/>
            <w:vAlign w:val="center"/>
          </w:tcPr>
          <w:p w:rsidRPr="00D245D2" w:rsidR="00F77F06" w:rsidP="00F77F06" w:rsidRDefault="00F77F06" w14:paraId="7BF7E47C" w14:textId="77777777">
            <w:pPr>
              <w:jc w:val="center"/>
              <w:rPr>
                <w:rFonts w:ascii="Calibri" w:hAnsi="Calibri"/>
                <w:w w:val="105"/>
                <w:sz w:val="16"/>
              </w:rPr>
            </w:pPr>
          </w:p>
        </w:tc>
      </w:tr>
      <w:tr w:rsidRPr="00D245D2" w:rsidR="00F77F06" w:rsidTr="00F77F06" w14:paraId="4EB41B46" w14:textId="77777777">
        <w:trPr>
          <w:trHeight w:val="288"/>
        </w:trPr>
        <w:tc>
          <w:tcPr>
            <w:tcW w:w="11340" w:type="dxa"/>
            <w:gridSpan w:val="2"/>
            <w:shd w:val="clear" w:color="auto" w:fill="BFBFBF" w:themeFill="background1" w:themeFillShade="BF"/>
            <w:vAlign w:val="center"/>
          </w:tcPr>
          <w:p w:rsidRPr="00181FD4" w:rsidR="00F77F06" w:rsidP="00F77F06" w:rsidRDefault="00F77F06" w14:paraId="19B4F8A9" w14:textId="77777777">
            <w:pPr>
              <w:rPr>
                <w:rFonts w:ascii="Calibri" w:hAnsi="Calibri"/>
                <w:b/>
                <w:w w:val="105"/>
                <w:sz w:val="16"/>
              </w:rPr>
            </w:pPr>
            <w:r w:rsidRPr="00181FD4">
              <w:rPr>
                <w:rFonts w:ascii="Calibri" w:hAnsi="Calibri"/>
                <w:b/>
                <w:sz w:val="16"/>
              </w:rPr>
              <w:t xml:space="preserve">Core Action 2: </w:t>
            </w:r>
            <w:r>
              <w:rPr>
                <w:rFonts w:ascii="Calibri" w:hAnsi="Calibri"/>
                <w:b/>
                <w:sz w:val="16"/>
              </w:rPr>
              <w:t xml:space="preserve">Employ instructional practices that allow all students to learn the content of the lesson. </w:t>
            </w:r>
          </w:p>
        </w:tc>
      </w:tr>
      <w:tr w:rsidRPr="00D245D2" w:rsidR="00F77F06" w:rsidTr="00F77F06" w14:paraId="61C284CF" w14:textId="77777777">
        <w:trPr>
          <w:trHeight w:val="397"/>
        </w:trPr>
        <w:tc>
          <w:tcPr>
            <w:tcW w:w="9630" w:type="dxa"/>
          </w:tcPr>
          <w:p w:rsidRPr="00D245D2" w:rsidR="00F77F06" w:rsidP="00F77F06" w:rsidRDefault="00F77F06" w14:paraId="6E8728E4" w14:textId="77777777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rFonts w:ascii="Calibri" w:hAnsi="Calibri"/>
                <w:w w:val="105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The teacher makes the mathematics of the lesson explicit by using explanations, representations, and/or examples.  The mathematics is clear and correct. </w:t>
            </w:r>
          </w:p>
          <w:p w:rsidR="00F77F06" w:rsidP="00F77F06" w:rsidRDefault="00F77F06" w14:paraId="52389236" w14:textId="77777777">
            <w:pPr>
              <w:pStyle w:val="ListParagraph"/>
              <w:numPr>
                <w:ilvl w:val="0"/>
                <w:numId w:val="6"/>
              </w:numPr>
              <w:ind w:left="450" w:hanging="90"/>
              <w:rPr>
                <w:rFonts w:ascii="Calibri" w:hAnsi="Calibri"/>
                <w:w w:val="105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  <w:szCs w:val="16"/>
              </w:rPr>
              <w:t>A variety of instructional techniques and examples are used to make the mathematics of the lesson clear.</w:t>
            </w:r>
          </w:p>
          <w:p w:rsidR="00F77F06" w:rsidP="00F77F06" w:rsidRDefault="00F77F06" w14:paraId="5F4E044C" w14:textId="77777777">
            <w:pPr>
              <w:pStyle w:val="ListParagraph"/>
              <w:numPr>
                <w:ilvl w:val="0"/>
                <w:numId w:val="6"/>
              </w:numPr>
              <w:ind w:left="450" w:hanging="90"/>
              <w:rPr>
                <w:rFonts w:ascii="Calibri" w:hAnsi="Calibri"/>
                <w:w w:val="105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When applicable, manipulatives are used to make the mathematics clear to support the conceptual understanding.</w:t>
            </w:r>
          </w:p>
          <w:p w:rsidRPr="00904CD3" w:rsidR="00F77F06" w:rsidP="00F77F06" w:rsidRDefault="00F77F06" w14:paraId="4F07B9EA" w14:textId="77777777">
            <w:pPr>
              <w:pStyle w:val="ListParagraph"/>
              <w:numPr>
                <w:ilvl w:val="0"/>
                <w:numId w:val="6"/>
              </w:numPr>
              <w:ind w:left="450" w:hanging="90"/>
              <w:rPr>
                <w:rFonts w:ascii="Calibri" w:hAnsi="Calibri"/>
                <w:w w:val="105"/>
                <w:sz w:val="16"/>
                <w:szCs w:val="16"/>
              </w:rPr>
            </w:pPr>
            <w:r w:rsidRPr="00934A94">
              <w:rPr>
                <w:rFonts w:ascii="Calibri" w:hAnsi="Calibri"/>
                <w:sz w:val="16"/>
              </w:rPr>
              <w:t>Brief informational videos may be appropriate depending on the standard(s) being taught.</w:t>
            </w:r>
          </w:p>
        </w:tc>
        <w:tc>
          <w:tcPr>
            <w:tcW w:w="1710" w:type="dxa"/>
            <w:vAlign w:val="center"/>
          </w:tcPr>
          <w:p w:rsidRPr="00D245D2" w:rsidR="00F77F06" w:rsidP="00F77F06" w:rsidRDefault="00F77F06" w14:paraId="76742BD5" w14:textId="77777777">
            <w:pPr>
              <w:jc w:val="center"/>
              <w:rPr>
                <w:rFonts w:ascii="Calibri" w:hAnsi="Calibri"/>
                <w:w w:val="105"/>
                <w:sz w:val="16"/>
              </w:rPr>
            </w:pPr>
          </w:p>
        </w:tc>
      </w:tr>
      <w:tr w:rsidRPr="00D245D2" w:rsidR="00F77F06" w:rsidTr="00F77F06" w14:paraId="5346FE13" w14:textId="77777777">
        <w:trPr>
          <w:trHeight w:val="397"/>
        </w:trPr>
        <w:tc>
          <w:tcPr>
            <w:tcW w:w="9630" w:type="dxa"/>
          </w:tcPr>
          <w:p w:rsidRPr="00181FD4" w:rsidR="00F77F06" w:rsidP="00F77F06" w:rsidRDefault="00F77F06" w14:paraId="7E6DF1E8" w14:textId="77777777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rFonts w:ascii="Calibri" w:hAnsi="Calibri"/>
                <w:w w:val="105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The teacher provides opportunities for all students to work with and practice grade-level problems and exercises. </w:t>
            </w:r>
          </w:p>
          <w:p w:rsidRPr="003F0F2B" w:rsidR="00F77F06" w:rsidP="00F77F06" w:rsidRDefault="00F77F06" w14:paraId="5AE64305" w14:textId="77777777">
            <w:pPr>
              <w:pStyle w:val="ListParagraph"/>
              <w:numPr>
                <w:ilvl w:val="0"/>
                <w:numId w:val="6"/>
              </w:numPr>
              <w:ind w:left="450" w:hanging="90"/>
              <w:rPr>
                <w:rFonts w:ascii="Calibri" w:hAnsi="Calibri"/>
                <w:w w:val="105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Students are given opportunities to work with grade-level problems and exercises.</w:t>
            </w:r>
            <w:r w:rsidRPr="00D245D2">
              <w:rPr>
                <w:rFonts w:ascii="Calibri" w:hAnsi="Calibri"/>
                <w:w w:val="105"/>
                <w:sz w:val="16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Pr="00D245D2" w:rsidR="00F77F06" w:rsidP="00F77F06" w:rsidRDefault="00F77F06" w14:paraId="4EA60CD4" w14:textId="77777777">
            <w:pPr>
              <w:jc w:val="center"/>
              <w:rPr>
                <w:rFonts w:ascii="Calibri" w:hAnsi="Calibri"/>
                <w:w w:val="105"/>
                <w:sz w:val="16"/>
              </w:rPr>
            </w:pPr>
          </w:p>
        </w:tc>
      </w:tr>
      <w:tr w:rsidRPr="00D245D2" w:rsidR="00F77F06" w:rsidTr="00F77F06" w14:paraId="5B5242E0" w14:textId="77777777">
        <w:trPr>
          <w:trHeight w:val="397"/>
        </w:trPr>
        <w:tc>
          <w:tcPr>
            <w:tcW w:w="9630" w:type="dxa"/>
          </w:tcPr>
          <w:p w:rsidRPr="00181FD4" w:rsidR="00F77F06" w:rsidP="00F77F06" w:rsidRDefault="00F77F06" w14:paraId="658E0FAB" w14:textId="77777777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rFonts w:ascii="Calibri" w:hAnsi="Calibri"/>
                <w:w w:val="105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The teacher deliberately checks for understanding throughout the lesson and adapts the lesson according to student understanding. </w:t>
            </w:r>
          </w:p>
          <w:p w:rsidRPr="001A1AAC" w:rsidR="00F77F06" w:rsidP="00F77F06" w:rsidRDefault="00F77F06" w14:paraId="15FBFB20" w14:textId="77777777">
            <w:pPr>
              <w:pStyle w:val="ListParagraph"/>
              <w:numPr>
                <w:ilvl w:val="0"/>
                <w:numId w:val="6"/>
              </w:numPr>
              <w:ind w:left="450" w:hanging="90"/>
              <w:rPr>
                <w:rFonts w:ascii="Calibri" w:hAnsi="Calibri"/>
                <w:w w:val="105"/>
                <w:sz w:val="16"/>
              </w:rPr>
            </w:pPr>
            <w:r w:rsidRPr="001A1AAC">
              <w:rPr>
                <w:rFonts w:ascii="Calibri" w:hAnsi="Calibri"/>
                <w:w w:val="105"/>
                <w:sz w:val="16"/>
              </w:rPr>
              <w:t>Students a</w:t>
            </w:r>
            <w:r>
              <w:rPr>
                <w:rFonts w:ascii="Calibri" w:hAnsi="Calibri"/>
                <w:w w:val="105"/>
                <w:sz w:val="16"/>
              </w:rPr>
              <w:t xml:space="preserve">re asked to address vocabulary and/or show evidence to multiple entry points to the task they are completing. </w:t>
            </w:r>
          </w:p>
          <w:p w:rsidRPr="00D245D2" w:rsidR="00F77F06" w:rsidP="00F77F06" w:rsidRDefault="00F77F06" w14:paraId="7EDDB298" w14:textId="77777777">
            <w:pPr>
              <w:pStyle w:val="ListParagraph"/>
              <w:numPr>
                <w:ilvl w:val="0"/>
                <w:numId w:val="6"/>
              </w:numPr>
              <w:ind w:left="450" w:hanging="90"/>
              <w:rPr>
                <w:rFonts w:ascii="Calibri" w:hAnsi="Calibri"/>
                <w:w w:val="105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There are checks for understanding used throughout the lesson to assess progress and misconceptions of all students and adjustments to instruction are made in response, as needed. </w:t>
            </w:r>
          </w:p>
        </w:tc>
        <w:tc>
          <w:tcPr>
            <w:tcW w:w="1710" w:type="dxa"/>
            <w:vAlign w:val="center"/>
          </w:tcPr>
          <w:p w:rsidRPr="00D245D2" w:rsidR="00F77F06" w:rsidP="00F77F06" w:rsidRDefault="00F77F06" w14:paraId="1A19655C" w14:textId="77777777">
            <w:pPr>
              <w:jc w:val="center"/>
              <w:rPr>
                <w:rFonts w:ascii="Calibri" w:hAnsi="Calibri"/>
                <w:w w:val="105"/>
                <w:sz w:val="16"/>
              </w:rPr>
            </w:pPr>
          </w:p>
        </w:tc>
      </w:tr>
      <w:tr w:rsidRPr="00D245D2" w:rsidR="00F77F06" w:rsidTr="00F77F06" w14:paraId="0EDB35D9" w14:textId="77777777">
        <w:trPr>
          <w:trHeight w:val="288"/>
        </w:trPr>
        <w:tc>
          <w:tcPr>
            <w:tcW w:w="11340" w:type="dxa"/>
            <w:gridSpan w:val="2"/>
            <w:shd w:val="clear" w:color="auto" w:fill="BFBFBF" w:themeFill="background1" w:themeFillShade="BF"/>
            <w:vAlign w:val="center"/>
          </w:tcPr>
          <w:p w:rsidRPr="00181FD4" w:rsidR="00F77F06" w:rsidP="00F77F06" w:rsidRDefault="00F77F06" w14:paraId="7DDC7E03" w14:textId="77777777">
            <w:pPr>
              <w:rPr>
                <w:rFonts w:ascii="Calibri" w:hAnsi="Calibri"/>
                <w:b/>
                <w:w w:val="105"/>
                <w:sz w:val="16"/>
              </w:rPr>
            </w:pPr>
            <w:r w:rsidRPr="00181FD4">
              <w:rPr>
                <w:rFonts w:ascii="Calibri" w:hAnsi="Calibri"/>
                <w:b/>
                <w:w w:val="105"/>
                <w:sz w:val="16"/>
              </w:rPr>
              <w:t xml:space="preserve">Core Action 3: Provide all students with opportunities to </w:t>
            </w:r>
            <w:r>
              <w:rPr>
                <w:rFonts w:ascii="Calibri" w:hAnsi="Calibri"/>
                <w:b/>
                <w:w w:val="105"/>
                <w:sz w:val="16"/>
              </w:rPr>
              <w:t>exhibit mathematical practices while engaging with the content of the lesson.</w:t>
            </w:r>
          </w:p>
        </w:tc>
      </w:tr>
      <w:tr w:rsidRPr="00D245D2" w:rsidR="00F77F06" w:rsidTr="00F77F06" w14:paraId="2F4B174C" w14:textId="77777777">
        <w:trPr>
          <w:trHeight w:val="397"/>
        </w:trPr>
        <w:tc>
          <w:tcPr>
            <w:tcW w:w="9630" w:type="dxa"/>
          </w:tcPr>
          <w:p w:rsidRPr="00181FD4" w:rsidR="00F77F06" w:rsidP="00F77F06" w:rsidRDefault="00F77F06" w14:paraId="0AAD89F2" w14:textId="77777777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Calibri" w:hAnsi="Calibri"/>
                <w:w w:val="105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Students explain their developing thinking about the content of the lesson through the high-quality questions and problems that the teacher poses.  Teacher asks students to elaborate on their explanations. </w:t>
            </w:r>
          </w:p>
          <w:p w:rsidR="00F77F06" w:rsidP="00F77F06" w:rsidRDefault="00F77F06" w14:paraId="3E91C0A9" w14:textId="77777777">
            <w:pPr>
              <w:pStyle w:val="ListParagraph"/>
              <w:numPr>
                <w:ilvl w:val="0"/>
                <w:numId w:val="7"/>
              </w:numPr>
              <w:ind w:left="450" w:hanging="90"/>
              <w:rPr>
                <w:rFonts w:ascii="Calibri" w:hAnsi="Calibri"/>
                <w:w w:val="105"/>
                <w:sz w:val="16"/>
              </w:rPr>
            </w:pPr>
            <w:r w:rsidRPr="001A1AAC">
              <w:rPr>
                <w:rFonts w:ascii="Calibri" w:hAnsi="Calibri"/>
                <w:w w:val="105"/>
                <w:sz w:val="16"/>
              </w:rPr>
              <w:t>Wait time is provided</w:t>
            </w:r>
            <w:r>
              <w:rPr>
                <w:rFonts w:ascii="Calibri" w:hAnsi="Calibri"/>
                <w:w w:val="105"/>
                <w:sz w:val="16"/>
              </w:rPr>
              <w:t>.</w:t>
            </w:r>
          </w:p>
          <w:p w:rsidRPr="001A1AAC" w:rsidR="00F77F06" w:rsidP="00F77F06" w:rsidRDefault="00F77F06" w14:paraId="7898F2A0" w14:textId="77777777">
            <w:pPr>
              <w:pStyle w:val="ListParagraph"/>
              <w:numPr>
                <w:ilvl w:val="0"/>
                <w:numId w:val="7"/>
              </w:numPr>
              <w:ind w:left="450" w:hanging="90"/>
              <w:rPr>
                <w:rFonts w:ascii="Calibri" w:hAnsi="Calibri"/>
                <w:w w:val="105"/>
                <w:sz w:val="16"/>
              </w:rPr>
            </w:pPr>
            <w:r w:rsidRPr="001A1AAC">
              <w:rPr>
                <w:rFonts w:ascii="Calibri" w:hAnsi="Calibri"/>
                <w:w w:val="105"/>
                <w:sz w:val="16"/>
              </w:rPr>
              <w:t xml:space="preserve">Tasks are chunked into smallest units possible </w:t>
            </w:r>
            <w:proofErr w:type="gramStart"/>
            <w:r w:rsidRPr="001A1AAC">
              <w:rPr>
                <w:rFonts w:ascii="Calibri" w:hAnsi="Calibri"/>
                <w:w w:val="105"/>
                <w:sz w:val="16"/>
              </w:rPr>
              <w:t>in order to</w:t>
            </w:r>
            <w:proofErr w:type="gramEnd"/>
            <w:r w:rsidRPr="001A1AAC">
              <w:rPr>
                <w:rFonts w:ascii="Calibri" w:hAnsi="Calibri"/>
                <w:w w:val="105"/>
                <w:sz w:val="16"/>
              </w:rPr>
              <w:t xml:space="preserve"> provide for maximum opportunities for feedback</w:t>
            </w:r>
            <w:r>
              <w:rPr>
                <w:rFonts w:ascii="Calibri" w:hAnsi="Calibri"/>
                <w:w w:val="105"/>
                <w:sz w:val="16"/>
              </w:rPr>
              <w:t>.</w:t>
            </w:r>
          </w:p>
          <w:p w:rsidRPr="001A1AAC" w:rsidR="00F77F06" w:rsidP="00F77F06" w:rsidRDefault="00F77F06" w14:paraId="1EA0DF29" w14:textId="77777777">
            <w:pPr>
              <w:pStyle w:val="ListParagraph"/>
              <w:numPr>
                <w:ilvl w:val="0"/>
                <w:numId w:val="7"/>
              </w:numPr>
              <w:ind w:left="450" w:hanging="90"/>
              <w:rPr>
                <w:rFonts w:ascii="Calibri" w:hAnsi="Calibri"/>
                <w:w w:val="105"/>
                <w:sz w:val="16"/>
              </w:rPr>
            </w:pPr>
            <w:r w:rsidRPr="001A1AAC">
              <w:rPr>
                <w:rFonts w:ascii="Calibri" w:hAnsi="Calibri"/>
                <w:w w:val="105"/>
                <w:sz w:val="16"/>
              </w:rPr>
              <w:t xml:space="preserve">During whole group instruction, the teacher utilizes cold calling, </w:t>
            </w:r>
            <w:proofErr w:type="gramStart"/>
            <w:r w:rsidRPr="001A1AAC">
              <w:rPr>
                <w:rFonts w:ascii="Calibri" w:hAnsi="Calibri"/>
                <w:w w:val="105"/>
                <w:sz w:val="16"/>
              </w:rPr>
              <w:t>life-lines</w:t>
            </w:r>
            <w:proofErr w:type="gramEnd"/>
            <w:r w:rsidRPr="001A1AAC">
              <w:rPr>
                <w:rFonts w:ascii="Calibri" w:hAnsi="Calibri"/>
                <w:w w:val="105"/>
                <w:sz w:val="16"/>
              </w:rPr>
              <w:t>, and no opt-outs to ensure all students have multiple opportunities to engage</w:t>
            </w:r>
            <w:r>
              <w:rPr>
                <w:rFonts w:ascii="Calibri" w:hAnsi="Calibri"/>
                <w:w w:val="105"/>
                <w:sz w:val="16"/>
              </w:rPr>
              <w:t>.</w:t>
            </w:r>
          </w:p>
          <w:p w:rsidRPr="001A1AAC" w:rsidR="00F77F06" w:rsidP="00F77F06" w:rsidRDefault="00F77F06" w14:paraId="1C9DE543" w14:textId="77777777">
            <w:pPr>
              <w:pStyle w:val="ListParagraph"/>
              <w:numPr>
                <w:ilvl w:val="0"/>
                <w:numId w:val="7"/>
              </w:numPr>
              <w:ind w:left="450" w:hanging="90"/>
              <w:rPr>
                <w:rFonts w:ascii="Calibri" w:hAnsi="Calibri"/>
                <w:w w:val="105"/>
                <w:sz w:val="16"/>
              </w:rPr>
            </w:pPr>
            <w:r w:rsidRPr="001A1AAC">
              <w:rPr>
                <w:rFonts w:ascii="Calibri" w:hAnsi="Calibri"/>
                <w:w w:val="105"/>
                <w:sz w:val="16"/>
              </w:rPr>
              <w:t>When students are working alone or with a partner, the teacher utilizes “Praise, Prompt,</w:t>
            </w:r>
            <w:r>
              <w:rPr>
                <w:rFonts w:ascii="Calibri" w:hAnsi="Calibri"/>
                <w:w w:val="105"/>
                <w:sz w:val="16"/>
              </w:rPr>
              <w:t xml:space="preserve"> and Leave” to provide feedback.</w:t>
            </w:r>
          </w:p>
          <w:p w:rsidRPr="00D245D2" w:rsidR="00F77F06" w:rsidP="00F77F06" w:rsidRDefault="00F77F06" w14:paraId="70710C1C" w14:textId="77777777">
            <w:pPr>
              <w:pStyle w:val="ListParagraph"/>
              <w:numPr>
                <w:ilvl w:val="0"/>
                <w:numId w:val="7"/>
              </w:numPr>
              <w:ind w:left="450" w:hanging="90"/>
              <w:rPr>
                <w:rFonts w:ascii="Calibri" w:hAnsi="Calibri"/>
                <w:w w:val="105"/>
                <w:sz w:val="16"/>
              </w:rPr>
            </w:pPr>
            <w:r w:rsidRPr="001A1AAC">
              <w:rPr>
                <w:rFonts w:ascii="Calibri" w:hAnsi="Calibri"/>
                <w:w w:val="105"/>
                <w:sz w:val="16"/>
              </w:rPr>
              <w:t>The teacher utilizes information gained from</w:t>
            </w:r>
            <w:r>
              <w:rPr>
                <w:rFonts w:ascii="Calibri" w:hAnsi="Calibri"/>
                <w:w w:val="105"/>
                <w:sz w:val="16"/>
              </w:rPr>
              <w:t xml:space="preserve"> assessing and advancing questions</w:t>
            </w:r>
            <w:r w:rsidRPr="001A1AAC">
              <w:rPr>
                <w:rFonts w:ascii="Calibri" w:hAnsi="Calibri"/>
                <w:w w:val="105"/>
                <w:sz w:val="16"/>
              </w:rPr>
              <w:t xml:space="preserve"> and circulating among </w:t>
            </w:r>
            <w:proofErr w:type="gramStart"/>
            <w:r w:rsidRPr="001A1AAC">
              <w:rPr>
                <w:rFonts w:ascii="Calibri" w:hAnsi="Calibri"/>
                <w:w w:val="105"/>
                <w:sz w:val="16"/>
              </w:rPr>
              <w:t>a majority of</w:t>
            </w:r>
            <w:proofErr w:type="gramEnd"/>
            <w:r w:rsidRPr="001A1AAC">
              <w:rPr>
                <w:rFonts w:ascii="Calibri" w:hAnsi="Calibri"/>
                <w:w w:val="105"/>
                <w:sz w:val="16"/>
              </w:rPr>
              <w:t xml:space="preserve"> the students to determine if re-teaching is necessary within each chunk</w:t>
            </w:r>
            <w:r>
              <w:rPr>
                <w:rFonts w:ascii="Calibri" w:hAnsi="Calibri"/>
                <w:w w:val="105"/>
                <w:sz w:val="16"/>
              </w:rPr>
              <w:t>.</w:t>
            </w:r>
          </w:p>
        </w:tc>
        <w:tc>
          <w:tcPr>
            <w:tcW w:w="1710" w:type="dxa"/>
            <w:vAlign w:val="center"/>
          </w:tcPr>
          <w:p w:rsidRPr="00D245D2" w:rsidR="00F77F06" w:rsidP="00F77F06" w:rsidRDefault="00F77F06" w14:paraId="3BEA8708" w14:textId="77777777">
            <w:pPr>
              <w:jc w:val="center"/>
              <w:rPr>
                <w:rFonts w:ascii="Calibri" w:hAnsi="Calibri"/>
                <w:w w:val="105"/>
                <w:sz w:val="16"/>
              </w:rPr>
            </w:pPr>
          </w:p>
        </w:tc>
      </w:tr>
      <w:tr w:rsidRPr="00D245D2" w:rsidR="00F77F06" w:rsidTr="00F77F06" w14:paraId="222FDAE8" w14:textId="77777777">
        <w:trPr>
          <w:trHeight w:val="397"/>
        </w:trPr>
        <w:tc>
          <w:tcPr>
            <w:tcW w:w="9630" w:type="dxa"/>
          </w:tcPr>
          <w:p w:rsidRPr="00181FD4" w:rsidR="00F77F06" w:rsidP="00F77F06" w:rsidRDefault="00F77F06" w14:paraId="6EC98CD5" w14:textId="77777777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Calibri" w:hAnsi="Calibri"/>
                <w:w w:val="105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Despite initial difficulty, students persevere in solving challenging problems and struggle productively.</w:t>
            </w:r>
            <w:r w:rsidRPr="00181FD4">
              <w:rPr>
                <w:rFonts w:ascii="Calibri" w:hAnsi="Calibri"/>
                <w:w w:val="105"/>
                <w:sz w:val="16"/>
              </w:rPr>
              <w:t xml:space="preserve"> </w:t>
            </w:r>
          </w:p>
          <w:p w:rsidRPr="001A1AAC" w:rsidR="00F77F06" w:rsidP="00F77F06" w:rsidRDefault="00F77F06" w14:paraId="452CB97F" w14:textId="77777777">
            <w:pPr>
              <w:pStyle w:val="ListParagraph"/>
              <w:numPr>
                <w:ilvl w:val="0"/>
                <w:numId w:val="8"/>
              </w:numPr>
              <w:ind w:left="450" w:hanging="90"/>
              <w:rPr>
                <w:rFonts w:ascii="Calibri" w:hAnsi="Calibri"/>
                <w:w w:val="105"/>
                <w:sz w:val="16"/>
              </w:rPr>
            </w:pPr>
            <w:r w:rsidRPr="001A1AAC">
              <w:rPr>
                <w:rFonts w:ascii="Calibri" w:hAnsi="Calibri"/>
                <w:w w:val="105"/>
                <w:sz w:val="16"/>
              </w:rPr>
              <w:t>The teacher does not accept “general” statements</w:t>
            </w:r>
            <w:r>
              <w:rPr>
                <w:rFonts w:ascii="Calibri" w:hAnsi="Calibri"/>
                <w:w w:val="105"/>
                <w:sz w:val="16"/>
              </w:rPr>
              <w:t xml:space="preserve"> (Right is Right)</w:t>
            </w:r>
            <w:r w:rsidRPr="001A1AAC">
              <w:rPr>
                <w:rFonts w:ascii="Calibri" w:hAnsi="Calibri"/>
                <w:w w:val="105"/>
                <w:sz w:val="16"/>
              </w:rPr>
              <w:t xml:space="preserve"> as </w:t>
            </w:r>
            <w:proofErr w:type="gramStart"/>
            <w:r w:rsidRPr="001A1AAC">
              <w:rPr>
                <w:rFonts w:ascii="Calibri" w:hAnsi="Calibri"/>
                <w:w w:val="105"/>
                <w:sz w:val="16"/>
              </w:rPr>
              <w:t>evidence, but</w:t>
            </w:r>
            <w:proofErr w:type="gramEnd"/>
            <w:r w:rsidRPr="001A1AAC">
              <w:rPr>
                <w:rFonts w:ascii="Calibri" w:hAnsi="Calibri"/>
                <w:w w:val="105"/>
                <w:sz w:val="16"/>
              </w:rPr>
              <w:t xml:space="preserve"> pushes for clear and specific evidence that adequately backs up a student’s response</w:t>
            </w:r>
            <w:r>
              <w:rPr>
                <w:rFonts w:ascii="Calibri" w:hAnsi="Calibri"/>
                <w:w w:val="105"/>
                <w:sz w:val="16"/>
              </w:rPr>
              <w:t>.</w:t>
            </w:r>
          </w:p>
          <w:p w:rsidRPr="001A1AAC" w:rsidR="00F77F06" w:rsidP="00F77F06" w:rsidRDefault="00F77F06" w14:paraId="5FD50930" w14:textId="77777777">
            <w:pPr>
              <w:pStyle w:val="ListParagraph"/>
              <w:numPr>
                <w:ilvl w:val="0"/>
                <w:numId w:val="8"/>
              </w:numPr>
              <w:ind w:left="450" w:hanging="90"/>
              <w:rPr>
                <w:rFonts w:ascii="Calibri" w:hAnsi="Calibri"/>
                <w:w w:val="105"/>
                <w:sz w:val="16"/>
              </w:rPr>
            </w:pPr>
            <w:r w:rsidRPr="001A1AAC">
              <w:rPr>
                <w:rFonts w:ascii="Calibri" w:hAnsi="Calibri"/>
                <w:w w:val="105"/>
                <w:sz w:val="16"/>
              </w:rPr>
              <w:t>During whole group instruction, the teacher cold calls on students and pushes them for the best evidence possible.</w:t>
            </w:r>
          </w:p>
          <w:p w:rsidRPr="001A1AAC" w:rsidR="00F77F06" w:rsidP="00F77F06" w:rsidRDefault="00F77F06" w14:paraId="0ACE5E4B" w14:textId="77777777">
            <w:pPr>
              <w:pStyle w:val="ListParagraph"/>
              <w:numPr>
                <w:ilvl w:val="0"/>
                <w:numId w:val="8"/>
              </w:numPr>
              <w:ind w:left="450" w:hanging="90"/>
              <w:rPr>
                <w:rFonts w:ascii="Calibri" w:hAnsi="Calibri"/>
                <w:w w:val="105"/>
                <w:sz w:val="16"/>
              </w:rPr>
            </w:pPr>
            <w:r w:rsidRPr="001A1AAC">
              <w:rPr>
                <w:rFonts w:ascii="Calibri" w:hAnsi="Calibri"/>
                <w:w w:val="105"/>
                <w:sz w:val="16"/>
              </w:rPr>
              <w:t>When students are working alone or with a partner, the teacher utilizes “Praise, Prompt, and Leave” to push students who need re-direction or whose responses need to be more specific</w:t>
            </w:r>
            <w:r>
              <w:rPr>
                <w:rFonts w:ascii="Calibri" w:hAnsi="Calibri"/>
                <w:w w:val="105"/>
                <w:sz w:val="16"/>
              </w:rPr>
              <w:t>.</w:t>
            </w:r>
          </w:p>
          <w:p w:rsidRPr="00D245D2" w:rsidR="00F77F06" w:rsidP="00F77F06" w:rsidRDefault="00F77F06" w14:paraId="2A040D48" w14:textId="77777777">
            <w:pPr>
              <w:pStyle w:val="ListParagraph"/>
              <w:numPr>
                <w:ilvl w:val="0"/>
                <w:numId w:val="8"/>
              </w:numPr>
              <w:ind w:left="450" w:hanging="90"/>
              <w:rPr>
                <w:rFonts w:ascii="Calibri" w:hAnsi="Calibri"/>
                <w:w w:val="105"/>
                <w:sz w:val="16"/>
              </w:rPr>
            </w:pPr>
            <w:r w:rsidRPr="001A1AAC">
              <w:rPr>
                <w:rFonts w:ascii="Calibri" w:hAnsi="Calibri"/>
                <w:w w:val="105"/>
                <w:sz w:val="16"/>
              </w:rPr>
              <w:t xml:space="preserve">The teacher utilizes information gained from questioning and circulating among </w:t>
            </w:r>
            <w:proofErr w:type="gramStart"/>
            <w:r w:rsidRPr="001A1AAC">
              <w:rPr>
                <w:rFonts w:ascii="Calibri" w:hAnsi="Calibri"/>
                <w:w w:val="105"/>
                <w:sz w:val="16"/>
              </w:rPr>
              <w:t>a majority of</w:t>
            </w:r>
            <w:proofErr w:type="gramEnd"/>
            <w:r w:rsidRPr="001A1AAC">
              <w:rPr>
                <w:rFonts w:ascii="Calibri" w:hAnsi="Calibri"/>
                <w:w w:val="105"/>
                <w:sz w:val="16"/>
              </w:rPr>
              <w:t xml:space="preserve"> the students to determine if re-teaching is necessary within each chunk</w:t>
            </w:r>
            <w:r>
              <w:rPr>
                <w:rFonts w:ascii="Calibri" w:hAnsi="Calibri"/>
                <w:w w:val="105"/>
                <w:sz w:val="16"/>
              </w:rPr>
              <w:t>.</w:t>
            </w:r>
          </w:p>
        </w:tc>
        <w:tc>
          <w:tcPr>
            <w:tcW w:w="1710" w:type="dxa"/>
            <w:vAlign w:val="center"/>
          </w:tcPr>
          <w:p w:rsidRPr="00D245D2" w:rsidR="00F77F06" w:rsidP="00F77F06" w:rsidRDefault="00F77F06" w14:paraId="787E592C" w14:textId="77777777">
            <w:pPr>
              <w:jc w:val="center"/>
              <w:rPr>
                <w:rFonts w:ascii="Calibri" w:hAnsi="Calibri"/>
                <w:w w:val="105"/>
                <w:sz w:val="16"/>
              </w:rPr>
            </w:pPr>
          </w:p>
        </w:tc>
      </w:tr>
      <w:tr w:rsidRPr="00D245D2" w:rsidR="00F77F06" w:rsidTr="00F77F06" w14:paraId="41E24D0E" w14:textId="77777777">
        <w:trPr>
          <w:trHeight w:val="397"/>
        </w:trPr>
        <w:tc>
          <w:tcPr>
            <w:tcW w:w="9630" w:type="dxa"/>
          </w:tcPr>
          <w:p w:rsidR="00F77F06" w:rsidP="00F77F06" w:rsidRDefault="00F77F06" w14:paraId="20EDBBBE" w14:textId="77777777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Calibri" w:hAnsi="Calibri"/>
                <w:w w:val="105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The teacher creates the conditions for student conversations where students are encouraged to talk about each other’s thinking.  Students talk about and ask questions about each other’s thinking, </w:t>
            </w:r>
            <w:proofErr w:type="gramStart"/>
            <w:r>
              <w:rPr>
                <w:rFonts w:ascii="Calibri" w:hAnsi="Calibri"/>
                <w:w w:val="105"/>
                <w:sz w:val="16"/>
              </w:rPr>
              <w:t>in order to</w:t>
            </w:r>
            <w:proofErr w:type="gramEnd"/>
            <w:r>
              <w:rPr>
                <w:rFonts w:ascii="Calibri" w:hAnsi="Calibri"/>
                <w:w w:val="105"/>
                <w:sz w:val="16"/>
              </w:rPr>
              <w:t xml:space="preserve"> clarify or improve their own mathematical understanding. </w:t>
            </w:r>
          </w:p>
          <w:p w:rsidR="00F77F06" w:rsidP="00F77F06" w:rsidRDefault="00F77F06" w14:paraId="5B482A1C" w14:textId="77777777">
            <w:pPr>
              <w:pStyle w:val="ListParagraph"/>
              <w:numPr>
                <w:ilvl w:val="1"/>
                <w:numId w:val="15"/>
              </w:numPr>
              <w:ind w:left="450" w:hanging="90"/>
              <w:rPr>
                <w:rFonts w:ascii="Calibri" w:hAnsi="Calibri"/>
                <w:w w:val="105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Math discussions use technical vocabulary and/or students are using accountable talk stems. </w:t>
            </w:r>
          </w:p>
        </w:tc>
        <w:tc>
          <w:tcPr>
            <w:tcW w:w="1710" w:type="dxa"/>
            <w:vAlign w:val="center"/>
          </w:tcPr>
          <w:p w:rsidRPr="00D245D2" w:rsidR="00F77F06" w:rsidP="00F77F06" w:rsidRDefault="00F77F06" w14:paraId="7A8455F3" w14:textId="77777777">
            <w:pPr>
              <w:jc w:val="center"/>
              <w:rPr>
                <w:rFonts w:ascii="Calibri" w:hAnsi="Calibri"/>
                <w:w w:val="105"/>
                <w:sz w:val="16"/>
              </w:rPr>
            </w:pPr>
          </w:p>
        </w:tc>
      </w:tr>
      <w:tr w:rsidRPr="00D245D2" w:rsidR="00F77F06" w:rsidTr="00F77F06" w14:paraId="65C74F26" w14:textId="77777777">
        <w:trPr>
          <w:trHeight w:val="288"/>
        </w:trPr>
        <w:tc>
          <w:tcPr>
            <w:tcW w:w="11340" w:type="dxa"/>
            <w:gridSpan w:val="2"/>
            <w:shd w:val="clear" w:color="auto" w:fill="BFBFBF" w:themeFill="background1" w:themeFillShade="BF"/>
            <w:vAlign w:val="center"/>
          </w:tcPr>
          <w:p w:rsidRPr="00181FD4" w:rsidR="00F77F06" w:rsidP="00F77F06" w:rsidRDefault="00F77F06" w14:paraId="21B2DCA4" w14:textId="77777777">
            <w:pPr>
              <w:rPr>
                <w:rFonts w:ascii="Calibri" w:hAnsi="Calibri"/>
                <w:w w:val="105"/>
                <w:sz w:val="16"/>
              </w:rPr>
            </w:pPr>
            <w:r w:rsidRPr="00181FD4">
              <w:rPr>
                <w:rFonts w:ascii="Calibri" w:hAnsi="Calibri"/>
                <w:b/>
                <w:w w:val="105"/>
                <w:sz w:val="16"/>
              </w:rPr>
              <w:t>Mastery: Teaching to mastery of all students is targeted throughout the lesson</w:t>
            </w:r>
          </w:p>
        </w:tc>
      </w:tr>
    </w:tbl>
    <w:p w:rsidR="00F77F06" w:rsidP="00F77F06" w:rsidRDefault="00F77F06" w14:paraId="740DCF13" w14:textId="50CDFA45">
      <w:pPr>
        <w:rPr>
          <w:b/>
          <w:sz w:val="22"/>
          <w:szCs w:val="22"/>
        </w:rPr>
      </w:pPr>
    </w:p>
    <w:p w:rsidR="00F77F06" w:rsidP="00F77F06" w:rsidRDefault="00F77F06" w14:paraId="09071857" w14:textId="703D6AF7">
      <w:pPr>
        <w:rPr>
          <w:b/>
          <w:sz w:val="22"/>
          <w:szCs w:val="22"/>
        </w:rPr>
      </w:pPr>
    </w:p>
    <w:p w:rsidR="00F77F06" w:rsidP="00F77F06" w:rsidRDefault="00F77F06" w14:paraId="7F3D69C2" w14:textId="720F2432">
      <w:pPr>
        <w:rPr>
          <w:b/>
          <w:sz w:val="22"/>
          <w:szCs w:val="22"/>
        </w:rPr>
      </w:pPr>
    </w:p>
    <w:p w:rsidR="00F77F06" w:rsidP="00F77F06" w:rsidRDefault="00F77F06" w14:paraId="49EC8195" w14:textId="11340EDE">
      <w:pPr>
        <w:rPr>
          <w:b/>
          <w:sz w:val="22"/>
          <w:szCs w:val="22"/>
        </w:rPr>
      </w:pPr>
    </w:p>
    <w:p w:rsidR="00F77F06" w:rsidP="00F77F06" w:rsidRDefault="00F77F06" w14:paraId="152B170B" w14:textId="311FC3E9">
      <w:pPr>
        <w:rPr>
          <w:b/>
          <w:sz w:val="22"/>
          <w:szCs w:val="22"/>
        </w:rPr>
      </w:pPr>
    </w:p>
    <w:p w:rsidRPr="00D245D2" w:rsidR="00477A55" w:rsidP="00CA787C" w:rsidRDefault="00477A55" w14:paraId="14ADBE35" w14:textId="77777777">
      <w:pPr>
        <w:rPr>
          <w:rFonts w:ascii="Calibri" w:hAnsi="Calibri"/>
        </w:rPr>
      </w:pPr>
    </w:p>
    <w:sectPr w:rsidRPr="00D245D2" w:rsidR="00477A55" w:rsidSect="00181FD4">
      <w:pgSz w:w="12240" w:h="15840" w:orient="portrait"/>
      <w:pgMar w:top="342" w:right="540" w:bottom="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29A3" w:rsidP="00E46E7F" w:rsidRDefault="009029A3" w14:paraId="034CECD1" w14:textId="77777777">
      <w:r>
        <w:separator/>
      </w:r>
    </w:p>
  </w:endnote>
  <w:endnote w:type="continuationSeparator" w:id="0">
    <w:p w:rsidR="009029A3" w:rsidP="00E46E7F" w:rsidRDefault="009029A3" w14:paraId="75D01CB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29A3" w:rsidP="00E46E7F" w:rsidRDefault="009029A3" w14:paraId="08DA1A4F" w14:textId="77777777">
      <w:r>
        <w:separator/>
      </w:r>
    </w:p>
  </w:footnote>
  <w:footnote w:type="continuationSeparator" w:id="0">
    <w:p w:rsidR="009029A3" w:rsidP="00E46E7F" w:rsidRDefault="009029A3" w14:paraId="74D3489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F4"/>
    <w:multiLevelType w:val="hybridMultilevel"/>
    <w:tmpl w:val="4456EA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2356EDD4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  <w:color w:val="000000" w:themeColor="text1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773D"/>
    <w:multiLevelType w:val="hybridMultilevel"/>
    <w:tmpl w:val="EAA2D8F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F54003"/>
    <w:multiLevelType w:val="hybridMultilevel"/>
    <w:tmpl w:val="C52A6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7D4F"/>
    <w:multiLevelType w:val="hybridMultilevel"/>
    <w:tmpl w:val="08C48330"/>
    <w:lvl w:ilvl="0" w:tplc="295E732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356EDD4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  <w:color w:val="000000" w:themeColor="text1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3575F"/>
    <w:multiLevelType w:val="hybridMultilevel"/>
    <w:tmpl w:val="263E6A56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F4452EA"/>
    <w:multiLevelType w:val="hybridMultilevel"/>
    <w:tmpl w:val="51884A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09427FF"/>
    <w:multiLevelType w:val="hybridMultilevel"/>
    <w:tmpl w:val="36EA384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8E5528"/>
    <w:multiLevelType w:val="hybridMultilevel"/>
    <w:tmpl w:val="2C10E35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F6011C"/>
    <w:multiLevelType w:val="hybridMultilevel"/>
    <w:tmpl w:val="03BA6B1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6E42D96"/>
    <w:multiLevelType w:val="hybridMultilevel"/>
    <w:tmpl w:val="D75C7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E10D8"/>
    <w:multiLevelType w:val="hybridMultilevel"/>
    <w:tmpl w:val="945639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2356EDD4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  <w:color w:val="000000" w:themeColor="text1"/>
        <w:sz w:val="16"/>
        <w:szCs w:val="16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  <w:color w:val="000000" w:themeColor="text1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CF55A22"/>
    <w:multiLevelType w:val="hybridMultilevel"/>
    <w:tmpl w:val="79288D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1069C"/>
    <w:multiLevelType w:val="hybridMultilevel"/>
    <w:tmpl w:val="A34E7090"/>
    <w:lvl w:ilvl="0" w:tplc="D180B552">
      <w:start w:val="1"/>
      <w:numFmt w:val="bullet"/>
      <w:lvlText w:val=""/>
      <w:lvlJc w:val="left"/>
      <w:pPr>
        <w:ind w:left="-1035" w:hanging="360"/>
      </w:pPr>
      <w:rPr>
        <w:rFonts w:hint="default" w:ascii="Symbol" w:hAnsi="Symbol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31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1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</w:abstractNum>
  <w:abstractNum w:abstractNumId="13" w15:restartNumberingAfterBreak="0">
    <w:nsid w:val="620827B7"/>
    <w:multiLevelType w:val="hybridMultilevel"/>
    <w:tmpl w:val="C80ADA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8471996"/>
    <w:multiLevelType w:val="hybridMultilevel"/>
    <w:tmpl w:val="0122C1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2356EDD4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  <w:color w:val="000000" w:themeColor="text1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2"/>
  </w:num>
  <w:num w:numId="12">
    <w:abstractNumId w:val="3"/>
  </w:num>
  <w:num w:numId="13">
    <w:abstractNumId w:val="1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52"/>
    <w:rsid w:val="0003064E"/>
    <w:rsid w:val="00030BDA"/>
    <w:rsid w:val="000672E2"/>
    <w:rsid w:val="000B426B"/>
    <w:rsid w:val="000C1641"/>
    <w:rsid w:val="000F3F8D"/>
    <w:rsid w:val="001242D1"/>
    <w:rsid w:val="00124C49"/>
    <w:rsid w:val="00143539"/>
    <w:rsid w:val="00165B93"/>
    <w:rsid w:val="001738C3"/>
    <w:rsid w:val="00181FD4"/>
    <w:rsid w:val="001A1AAC"/>
    <w:rsid w:val="001D0549"/>
    <w:rsid w:val="001D2C0B"/>
    <w:rsid w:val="001D5A3D"/>
    <w:rsid w:val="001E48FD"/>
    <w:rsid w:val="0022734F"/>
    <w:rsid w:val="00242F2F"/>
    <w:rsid w:val="00276834"/>
    <w:rsid w:val="00277912"/>
    <w:rsid w:val="00293DEA"/>
    <w:rsid w:val="00294432"/>
    <w:rsid w:val="002B086B"/>
    <w:rsid w:val="002C5500"/>
    <w:rsid w:val="002D38F4"/>
    <w:rsid w:val="002E0234"/>
    <w:rsid w:val="00300957"/>
    <w:rsid w:val="00317BC0"/>
    <w:rsid w:val="00324281"/>
    <w:rsid w:val="0033653E"/>
    <w:rsid w:val="00350395"/>
    <w:rsid w:val="0037060E"/>
    <w:rsid w:val="003907B1"/>
    <w:rsid w:val="00390DAF"/>
    <w:rsid w:val="003E48CE"/>
    <w:rsid w:val="003F0F2B"/>
    <w:rsid w:val="00410E0E"/>
    <w:rsid w:val="00451CB1"/>
    <w:rsid w:val="00463E94"/>
    <w:rsid w:val="00477A55"/>
    <w:rsid w:val="004A599D"/>
    <w:rsid w:val="00533F3A"/>
    <w:rsid w:val="00551449"/>
    <w:rsid w:val="00554C74"/>
    <w:rsid w:val="00564EC4"/>
    <w:rsid w:val="005B3A51"/>
    <w:rsid w:val="005B5B0C"/>
    <w:rsid w:val="00654910"/>
    <w:rsid w:val="0068371B"/>
    <w:rsid w:val="006D5BCD"/>
    <w:rsid w:val="006E25FF"/>
    <w:rsid w:val="006E60C1"/>
    <w:rsid w:val="006F79E9"/>
    <w:rsid w:val="0071422F"/>
    <w:rsid w:val="00716604"/>
    <w:rsid w:val="0072401C"/>
    <w:rsid w:val="007648E6"/>
    <w:rsid w:val="007809D9"/>
    <w:rsid w:val="0079349E"/>
    <w:rsid w:val="007A3D3E"/>
    <w:rsid w:val="007E395A"/>
    <w:rsid w:val="00820F9E"/>
    <w:rsid w:val="008239D5"/>
    <w:rsid w:val="0083458C"/>
    <w:rsid w:val="00852489"/>
    <w:rsid w:val="00853C32"/>
    <w:rsid w:val="00874A29"/>
    <w:rsid w:val="00884686"/>
    <w:rsid w:val="008D41BC"/>
    <w:rsid w:val="009029A3"/>
    <w:rsid w:val="00904CD3"/>
    <w:rsid w:val="00915752"/>
    <w:rsid w:val="00926A5B"/>
    <w:rsid w:val="0093190E"/>
    <w:rsid w:val="00934A94"/>
    <w:rsid w:val="0095224C"/>
    <w:rsid w:val="00961107"/>
    <w:rsid w:val="00975AFE"/>
    <w:rsid w:val="00983764"/>
    <w:rsid w:val="009A5853"/>
    <w:rsid w:val="009B1554"/>
    <w:rsid w:val="009C6FC3"/>
    <w:rsid w:val="009F3FCF"/>
    <w:rsid w:val="009F40FF"/>
    <w:rsid w:val="00A576AE"/>
    <w:rsid w:val="00AC20FC"/>
    <w:rsid w:val="00AC23CF"/>
    <w:rsid w:val="00AE29DF"/>
    <w:rsid w:val="00AE6A46"/>
    <w:rsid w:val="00AF13B6"/>
    <w:rsid w:val="00B16CC2"/>
    <w:rsid w:val="00B30A6D"/>
    <w:rsid w:val="00B37132"/>
    <w:rsid w:val="00B402AD"/>
    <w:rsid w:val="00B447F2"/>
    <w:rsid w:val="00B471AE"/>
    <w:rsid w:val="00B73F04"/>
    <w:rsid w:val="00B97ED3"/>
    <w:rsid w:val="00BA015B"/>
    <w:rsid w:val="00BF3257"/>
    <w:rsid w:val="00BF7880"/>
    <w:rsid w:val="00C524C3"/>
    <w:rsid w:val="00C5336C"/>
    <w:rsid w:val="00C551BF"/>
    <w:rsid w:val="00C5659E"/>
    <w:rsid w:val="00C67E79"/>
    <w:rsid w:val="00CA787C"/>
    <w:rsid w:val="00CE4EB6"/>
    <w:rsid w:val="00CE6676"/>
    <w:rsid w:val="00CF4A91"/>
    <w:rsid w:val="00D078B7"/>
    <w:rsid w:val="00D245D2"/>
    <w:rsid w:val="00D56589"/>
    <w:rsid w:val="00D84100"/>
    <w:rsid w:val="00D87D67"/>
    <w:rsid w:val="00DA65BF"/>
    <w:rsid w:val="00DF4C72"/>
    <w:rsid w:val="00E02B64"/>
    <w:rsid w:val="00E164C5"/>
    <w:rsid w:val="00E24671"/>
    <w:rsid w:val="00E253AC"/>
    <w:rsid w:val="00E42FD7"/>
    <w:rsid w:val="00E46E7F"/>
    <w:rsid w:val="00E806EE"/>
    <w:rsid w:val="00EA06B0"/>
    <w:rsid w:val="00EB29C3"/>
    <w:rsid w:val="00EF14EE"/>
    <w:rsid w:val="00EF4D81"/>
    <w:rsid w:val="00F1310B"/>
    <w:rsid w:val="00F13531"/>
    <w:rsid w:val="00F31E80"/>
    <w:rsid w:val="00F656CA"/>
    <w:rsid w:val="00F735D6"/>
    <w:rsid w:val="00F77F06"/>
    <w:rsid w:val="00F922E4"/>
    <w:rsid w:val="00FA57B0"/>
    <w:rsid w:val="00FA5DDF"/>
    <w:rsid w:val="00FF21A1"/>
    <w:rsid w:val="54B2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8DC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75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76834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AC20FC"/>
    <w:pPr>
      <w:widowControl w:val="0"/>
      <w:autoSpaceDE w:val="0"/>
      <w:autoSpaceDN w:val="0"/>
      <w:spacing w:before="15"/>
      <w:ind w:left="201"/>
    </w:pPr>
    <w:rPr>
      <w:rFonts w:ascii="Corbel" w:hAnsi="Corbel" w:eastAsia="Corbel" w:cs="Corbe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46E7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46E7F"/>
  </w:style>
  <w:style w:type="paragraph" w:styleId="Footer">
    <w:name w:val="footer"/>
    <w:basedOn w:val="Normal"/>
    <w:link w:val="FooterChar"/>
    <w:uiPriority w:val="99"/>
    <w:unhideWhenUsed/>
    <w:rsid w:val="00E46E7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46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93E6B0B986F241A113B2D49B958513" ma:contentTypeVersion="8" ma:contentTypeDescription="Create a new document." ma:contentTypeScope="" ma:versionID="4c2fa86b327e6eb2608d56df9878164d">
  <xsd:schema xmlns:xsd="http://www.w3.org/2001/XMLSchema" xmlns:xs="http://www.w3.org/2001/XMLSchema" xmlns:p="http://schemas.microsoft.com/office/2006/metadata/properties" xmlns:ns2="d31bbffd-af85-45c8-b87c-c4f740317630" xmlns:ns3="702cb3d8-f2e7-4e96-8ad3-4643299e0366" targetNamespace="http://schemas.microsoft.com/office/2006/metadata/properties" ma:root="true" ma:fieldsID="741a3bd38bb55540b08e9a390e53dba5" ns2:_="" ns3:_="">
    <xsd:import namespace="d31bbffd-af85-45c8-b87c-c4f740317630"/>
    <xsd:import namespace="702cb3d8-f2e7-4e96-8ad3-4643299e03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bbffd-af85-45c8-b87c-c4f740317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cb3d8-f2e7-4e96-8ad3-4643299e03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3BE45-0495-45EE-8F44-67DE79C0A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bbffd-af85-45c8-b87c-c4f740317630"/>
    <ds:schemaRef ds:uri="702cb3d8-f2e7-4e96-8ad3-4643299e0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822B00-222E-4215-8CAF-919DA4649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3443D-AEA2-463C-98D1-1080C6488D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Jared A. Myracle</dc:creator>
  <keywords/>
  <dc:description/>
  <lastModifiedBy>Tiffany R. Spight</lastModifiedBy>
  <revision>6</revision>
  <lastPrinted>2018-01-19T15:26:00.0000000Z</lastPrinted>
  <dcterms:created xsi:type="dcterms:W3CDTF">2021-07-28T14:54:00.0000000Z</dcterms:created>
  <dcterms:modified xsi:type="dcterms:W3CDTF">2021-10-27T21:07:56.4987303Z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0x010100F093E6B0B986F241A113B2D49B958513</vt:lpwstr>
  </property>
</Properties>
</file>